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jpeg" ContentType="image/jpeg"/>
  <Override PartName="/word/media/image2.png" ContentType="image/png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_rels/.rels" ContentType="application/vnd.openxmlformats-package.relationships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tbl>
      <w:tblPr>
        <w:tblW w:w="16377" w:type="dxa"/>
        <w:jc w:val="left"/>
        <w:tblInd w:w="7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5315"/>
        <w:gridCol w:w="5603"/>
        <w:gridCol w:w="5459"/>
      </w:tblGrid>
      <w:tr>
        <w:trPr>
          <w:trHeight w:val="9132" w:hRule="atLeast"/>
        </w:trPr>
        <w:tc>
          <w:tcPr>
            <w:tcW w:w="5315" w:type="dxa"/>
            <w:tcBorders/>
            <w:shd w:color="auto" w:fill="auto" w:val="clear"/>
          </w:tcPr>
          <w:p>
            <w:pPr>
              <w:pStyle w:val="ConsPlusNormal"/>
              <w:widowControl w:val="false"/>
              <w:ind w:right="175" w:hanging="0"/>
              <w:jc w:val="center"/>
              <w:rPr>
                <w:b/>
                <w:b/>
                <w:sz w:val="20"/>
                <w:szCs w:val="20"/>
              </w:rPr>
            </w:pPr>
            <w:bookmarkStart w:id="0" w:name="_GoBack"/>
            <w:bookmarkEnd w:id="0"/>
            <w:r>
              <w:rPr>
                <w:b/>
                <w:sz w:val="20"/>
                <w:szCs w:val="20"/>
              </w:rPr>
              <w:t>ПОРЯДОК ПОДАЧИ ДОКУМЕНТОВ НА ПОЛУЧЕНИЕ СУБСИДИИ</w:t>
            </w:r>
          </w:p>
          <w:p>
            <w:pPr>
              <w:pStyle w:val="ConsPlusNormal"/>
              <w:widowControl w:val="false"/>
              <w:numPr>
                <w:ilvl w:val="0"/>
                <w:numId w:val="7"/>
              </w:numPr>
              <w:spacing w:lineRule="auto" w:line="216"/>
              <w:ind w:left="-6" w:right="175" w:firstLine="366"/>
              <w:jc w:val="both"/>
              <w:rPr>
                <w:b/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Документы подаются </w:t>
            </w:r>
            <w:r>
              <w:rPr>
                <w:sz w:val="20"/>
                <w:szCs w:val="20"/>
                <w:u w:val="single"/>
              </w:rPr>
              <w:t>по описи</w:t>
            </w:r>
            <w:r>
              <w:rPr>
                <w:sz w:val="20"/>
                <w:szCs w:val="20"/>
              </w:rPr>
              <w:t xml:space="preserve"> в орган местного самоуправления МО Кировской области, наделенный отдельными гос. полномочиями области по поддержке с/х производства, на территории которого зарегистрирован СХТП, или в министерство (в случае если орган местного самоуправления МО Кировской области, на территории которого зарегистрирован СХТП не наделен отдельными государственными полномочиями области по поддержке сельскохозяйственного производства);</w:t>
            </w:r>
          </w:p>
          <w:p>
            <w:pPr>
              <w:pStyle w:val="ConsPlusNormal"/>
              <w:widowControl w:val="false"/>
              <w:numPr>
                <w:ilvl w:val="0"/>
                <w:numId w:val="7"/>
              </w:numPr>
              <w:spacing w:lineRule="auto" w:line="216"/>
              <w:ind w:left="-6" w:right="175" w:firstLine="366"/>
              <w:jc w:val="both"/>
              <w:rPr>
                <w:b/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После проверки  полноты и достоверности поданных документов Минсельхозпрод заключает с СХТП соглашение о предоставлении субсидии, предусматривающее результата предоставления субсидии и их значения, а также формы отчетности.</w:t>
            </w:r>
          </w:p>
          <w:p>
            <w:pPr>
              <w:pStyle w:val="ConsPlusNormal"/>
              <w:widowControl w:val="false"/>
              <w:numPr>
                <w:ilvl w:val="0"/>
                <w:numId w:val="7"/>
              </w:numPr>
              <w:spacing w:lineRule="auto" w:line="216"/>
              <w:ind w:left="-6" w:right="175" w:firstLine="366"/>
              <w:jc w:val="both"/>
              <w:rPr>
                <w:b/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Минсельхозпрод составляет реестр сумм субсидий, платежные поручения, предусматривающие перечисление сумм субсидий на р/счет СХТП, открытый ими в кредитных организациях и предоставляет в Минфин.</w:t>
            </w:r>
          </w:p>
          <w:p>
            <w:pPr>
              <w:pStyle w:val="ConsPlusNormal"/>
              <w:widowControl w:val="false"/>
              <w:tabs>
                <w:tab w:val="clear" w:pos="708"/>
                <w:tab w:val="left" w:pos="4869" w:leader="none"/>
              </w:tabs>
              <w:spacing w:lineRule="auto" w:line="216"/>
              <w:ind w:left="-6" w:right="175" w:hanging="0"/>
              <w:jc w:val="center"/>
              <w:rPr>
                <w:b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РЕЗУЛЬТАТЫ ПРЕДОСТАВЛЕНИЯ СУБСИДИИ</w:t>
            </w:r>
          </w:p>
          <w:p>
            <w:pPr>
              <w:pStyle w:val="ConsPlusNormal"/>
              <w:widowControl w:val="false"/>
              <w:numPr>
                <w:ilvl w:val="0"/>
                <w:numId w:val="8"/>
              </w:numPr>
              <w:spacing w:lineRule="auto" w:line="216"/>
              <w:ind w:left="-6" w:firstLine="366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Сохранение численности маточного поголовья с/х животных и (или) птицы в году обращения за субсидией по отношению к предыдущему году - для СХТП, имеющих маточное поголовье, осуществляющих деятельность по разведению с/х животных.</w:t>
            </w:r>
          </w:p>
          <w:p>
            <w:pPr>
              <w:pStyle w:val="ConsPlusNormal"/>
              <w:widowControl w:val="false"/>
              <w:spacing w:lineRule="auto" w:line="216"/>
              <w:ind w:firstLine="54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 Сохранение численности поголовья с/х животных и (или) птицы в году обращения за субсидией по отношению к предыдущему году - для СХТП, не имеющих маточного поголовья, осуществляющих деятельность по разведению с/х животных.</w:t>
            </w:r>
          </w:p>
          <w:p>
            <w:pPr>
              <w:pStyle w:val="ConsPlusNormal"/>
              <w:widowControl w:val="false"/>
              <w:spacing w:lineRule="auto" w:line="216"/>
              <w:ind w:firstLine="54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 Сохранение площади обрабатываемой пашни в году обращения за субсидией по отношению к предыдущему году - для СХТП, осуществляющих деятельность по производству с/х культур;</w:t>
            </w:r>
          </w:p>
          <w:p>
            <w:pPr>
              <w:pStyle w:val="ConsPlusNormal"/>
              <w:widowControl w:val="false"/>
              <w:spacing w:lineRule="auto" w:line="216"/>
              <w:ind w:firstLine="54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</w:t>
            </w:r>
            <w:r>
              <w:rPr/>
              <w:t xml:space="preserve"> </w:t>
            </w:r>
            <w:r>
              <w:rPr>
                <w:sz w:val="20"/>
                <w:szCs w:val="20"/>
              </w:rPr>
              <w:t xml:space="preserve">СХТП не позднее 20 числа месяца, следующего за годом предоставления субсидии, представляет в министерство посредством почтовой, курьерской связи или нарочным </w:t>
            </w:r>
            <w:r>
              <w:rPr>
                <w:b/>
                <w:sz w:val="20"/>
                <w:szCs w:val="20"/>
              </w:rPr>
              <w:t>отчет</w:t>
            </w:r>
            <w:r>
              <w:rPr>
                <w:sz w:val="20"/>
                <w:szCs w:val="20"/>
              </w:rPr>
              <w:t xml:space="preserve"> о достижении результата предоставления субсидии по форме, определенной типовой формой соглашения, установленной министерством финансов Кировской области.</w:t>
            </w:r>
          </w:p>
          <w:p>
            <w:pPr>
              <w:pStyle w:val="ConsPlusNormal"/>
              <w:widowControl w:val="false"/>
              <w:ind w:right="175" w:hanging="0"/>
              <w:jc w:val="both"/>
              <w:rPr>
                <w:b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Нормативная база:</w:t>
            </w:r>
          </w:p>
          <w:p>
            <w:pPr>
              <w:pStyle w:val="ConsPlusNormal"/>
              <w:widowControl w:val="false"/>
              <w:numPr>
                <w:ilvl w:val="0"/>
                <w:numId w:val="2"/>
              </w:numPr>
              <w:tabs>
                <w:tab w:val="clear" w:pos="708"/>
                <w:tab w:val="left" w:pos="318" w:leader="none"/>
              </w:tabs>
              <w:spacing w:lineRule="auto" w:line="228"/>
              <w:ind w:left="176" w:right="335" w:hanging="176"/>
              <w:jc w:val="both"/>
              <w:rPr>
                <w:b/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Постановление Правительства Кировской области от 23.12.2019 № 690-П</w:t>
            </w:r>
          </w:p>
          <w:p>
            <w:pPr>
              <w:pStyle w:val="ConsPlusNormal"/>
              <w:widowControl w:val="false"/>
              <w:numPr>
                <w:ilvl w:val="0"/>
                <w:numId w:val="2"/>
              </w:numPr>
              <w:tabs>
                <w:tab w:val="clear" w:pos="708"/>
                <w:tab w:val="left" w:pos="318" w:leader="none"/>
              </w:tabs>
              <w:spacing w:lineRule="auto" w:line="228"/>
              <w:ind w:left="176" w:right="335" w:hanging="176"/>
              <w:jc w:val="both"/>
              <w:rPr>
                <w:b/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Постановление Правительства Кировской области от 18.12.2018 № 579-П (ред. от 17.08.23)</w:t>
            </w:r>
          </w:p>
          <w:p>
            <w:pPr>
              <w:pStyle w:val="ConsPlusNormal"/>
              <w:widowControl w:val="false"/>
              <w:numPr>
                <w:ilvl w:val="0"/>
                <w:numId w:val="2"/>
              </w:numPr>
              <w:tabs>
                <w:tab w:val="clear" w:pos="708"/>
                <w:tab w:val="left" w:pos="318" w:leader="none"/>
              </w:tabs>
              <w:spacing w:lineRule="auto" w:line="228"/>
              <w:ind w:left="176" w:right="335" w:hanging="176"/>
              <w:jc w:val="both"/>
              <w:rPr>
                <w:b/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Распоряжение Минсельхозпрод КО от 10.04.2019 № 34 (ред. от 16.03.23)</w:t>
            </w:r>
          </w:p>
          <w:p>
            <w:pPr>
              <w:pStyle w:val="ConsPlusNormal"/>
              <w:widowControl w:val="false"/>
              <w:ind w:left="176" w:right="175" w:hanging="0"/>
              <w:jc w:val="both"/>
              <w:rPr>
                <w:b/>
                <w:b/>
                <w:sz w:val="14"/>
                <w:szCs w:val="14"/>
              </w:rPr>
            </w:pPr>
            <w:r>
              <w:rPr>
                <w:sz w:val="14"/>
                <w:szCs w:val="14"/>
              </w:rPr>
              <w:t>*</w:t>
            </w:r>
            <w:r>
              <w:rPr>
                <w:i/>
                <w:sz w:val="14"/>
                <w:szCs w:val="14"/>
              </w:rPr>
              <w:t>Информация, изложенная в данном буклете, является сокращенной. Более подробная информация представлена в вышеперечисленных документах</w:t>
            </w:r>
            <w:r>
              <w:rPr>
                <w:sz w:val="14"/>
                <w:szCs w:val="14"/>
              </w:rPr>
              <w:t>.</w:t>
            </w:r>
          </w:p>
          <w:p>
            <w:pPr>
              <w:pStyle w:val="ConsPlusNormal"/>
              <w:widowControl w:val="false"/>
              <w:ind w:left="176" w:right="175" w:hanging="0"/>
              <w:jc w:val="both"/>
              <w:rPr>
                <w:b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</w:r>
          </w:p>
        </w:tc>
        <w:tc>
          <w:tcPr>
            <w:tcW w:w="5603" w:type="dxa"/>
            <w:tcBorders/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461" w:right="-109" w:hanging="0"/>
              <w:jc w:val="center"/>
              <w:rPr>
                <w:rFonts w:ascii="Times New Roman" w:hAnsi="Times New Roman"/>
                <w:b/>
                <w:b/>
                <w:color w:val="00B050"/>
              </w:rPr>
            </w:pPr>
            <w:r>
              <w:rPr>
                <w:rFonts w:ascii="Times New Roman" w:hAnsi="Times New Roman"/>
                <w:b/>
                <w:color w:val="00B050"/>
              </w:rPr>
              <w:t>НАШИ УСЛУГИ</w:t>
            </w:r>
          </w:p>
          <w:p>
            <w:pPr>
              <w:pStyle w:val="Normal"/>
              <w:widowControl w:val="false"/>
              <w:spacing w:lineRule="auto" w:line="240" w:before="0" w:after="0"/>
              <w:ind w:left="317" w:right="54" w:hanging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</w:t>
            </w:r>
            <w:r>
              <w:rPr>
                <w:rFonts w:ascii="Times New Roman" w:hAnsi="Times New Roman"/>
              </w:rPr>
              <w:t xml:space="preserve">Центр компетенций в сфере сельскохозяйственной кооперации и поддержки фермеров Кировской области является структурным подразделением Центра сельскохозяйственного консультирования «КЛЕВЕРА НЕЧЕРНОЗЕМЬЯ», оказывает </w:t>
            </w:r>
            <w:r>
              <w:rPr>
                <w:rFonts w:ascii="Times New Roman" w:hAnsi="Times New Roman"/>
                <w:b/>
              </w:rPr>
              <w:t>консультационные услуги</w:t>
            </w:r>
            <w:r>
              <w:rPr>
                <w:rFonts w:ascii="Times New Roman" w:hAnsi="Times New Roman"/>
              </w:rPr>
              <w:t>:</w:t>
            </w:r>
          </w:p>
          <w:p>
            <w:pPr>
              <w:pStyle w:val="ListParagraph"/>
              <w:widowControl w:val="false"/>
              <w:numPr>
                <w:ilvl w:val="0"/>
                <w:numId w:val="1"/>
              </w:numPr>
              <w:spacing w:lineRule="auto" w:line="240" w:before="0" w:after="0"/>
              <w:ind w:left="317" w:right="54" w:firstLine="142"/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информирование о мерах государственной поддержки;</w:t>
            </w:r>
          </w:p>
          <w:p>
            <w:pPr>
              <w:pStyle w:val="ListParagraph"/>
              <w:widowControl w:val="false"/>
              <w:numPr>
                <w:ilvl w:val="0"/>
                <w:numId w:val="1"/>
              </w:numPr>
              <w:spacing w:lineRule="auto" w:line="240" w:before="0" w:after="0"/>
              <w:ind w:left="317" w:right="54" w:firstLine="142"/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организация сельскохозяйственной деятельности;</w:t>
            </w:r>
          </w:p>
          <w:p>
            <w:pPr>
              <w:pStyle w:val="ListParagraph"/>
              <w:widowControl w:val="false"/>
              <w:numPr>
                <w:ilvl w:val="0"/>
                <w:numId w:val="1"/>
              </w:numPr>
              <w:spacing w:lineRule="auto" w:line="240" w:before="0" w:after="0"/>
              <w:ind w:left="317" w:right="54" w:firstLine="142"/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подготовка и </w:t>
            </w:r>
            <w:r>
              <w:rPr>
                <w:rFonts w:ascii="Times New Roman" w:hAnsi="Times New Roman"/>
                <w:u w:val="double"/>
              </w:rPr>
              <w:t>оформление</w:t>
            </w:r>
            <w:r>
              <w:rPr>
                <w:rFonts w:ascii="Times New Roman" w:hAnsi="Times New Roman"/>
              </w:rPr>
              <w:t xml:space="preserve"> документов необходимых для регистрации, реорганизации и ликвидации предпринимательской деятельности в органах ФНС;</w:t>
            </w:r>
          </w:p>
          <w:p>
            <w:pPr>
              <w:pStyle w:val="ListParagraph"/>
              <w:widowControl w:val="false"/>
              <w:numPr>
                <w:ilvl w:val="0"/>
                <w:numId w:val="1"/>
              </w:numPr>
              <w:spacing w:lineRule="auto" w:line="240" w:before="0" w:after="0"/>
              <w:ind w:left="317" w:right="54" w:firstLine="142"/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финансовое планирование;</w:t>
            </w:r>
          </w:p>
          <w:p>
            <w:pPr>
              <w:pStyle w:val="ListParagraph"/>
              <w:widowControl w:val="false"/>
              <w:numPr>
                <w:ilvl w:val="0"/>
                <w:numId w:val="1"/>
              </w:numPr>
              <w:spacing w:lineRule="auto" w:line="240" w:before="0" w:after="0"/>
              <w:ind w:left="317" w:right="54" w:firstLine="142"/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сопровождение КФХ и СПоК, получивших господдержку;</w:t>
            </w:r>
          </w:p>
          <w:p>
            <w:pPr>
              <w:pStyle w:val="ListParagraph"/>
              <w:widowControl w:val="false"/>
              <w:numPr>
                <w:ilvl w:val="0"/>
                <w:numId w:val="1"/>
              </w:numPr>
              <w:spacing w:lineRule="auto" w:line="240" w:before="0" w:after="0"/>
              <w:ind w:left="317" w:right="54" w:firstLine="142"/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подготовка и формирование пакета документов, необходимых для участия в грантах;</w:t>
            </w:r>
          </w:p>
          <w:p>
            <w:pPr>
              <w:pStyle w:val="ListParagraph"/>
              <w:widowControl w:val="false"/>
              <w:numPr>
                <w:ilvl w:val="0"/>
                <w:numId w:val="1"/>
              </w:numPr>
              <w:spacing w:lineRule="auto" w:line="240" w:before="0" w:after="0"/>
              <w:ind w:left="317" w:right="54" w:firstLine="142"/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бухгалтерские услуги;</w:t>
            </w:r>
          </w:p>
          <w:p>
            <w:pPr>
              <w:pStyle w:val="ListParagraph"/>
              <w:widowControl w:val="false"/>
              <w:numPr>
                <w:ilvl w:val="0"/>
                <w:numId w:val="1"/>
              </w:numPr>
              <w:spacing w:lineRule="auto" w:line="240" w:before="0" w:after="0"/>
              <w:ind w:left="317" w:right="54" w:firstLine="142"/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юридические услуги;</w:t>
            </w:r>
          </w:p>
          <w:p>
            <w:pPr>
              <w:pStyle w:val="ListParagraph"/>
              <w:widowControl w:val="false"/>
              <w:numPr>
                <w:ilvl w:val="0"/>
                <w:numId w:val="1"/>
              </w:numPr>
              <w:spacing w:lineRule="auto" w:line="240" w:before="0" w:after="0"/>
              <w:ind w:left="317" w:right="54" w:firstLine="142"/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оказание услуг в области маркетинга, продвижения и сбыта сельскохозяйственной продукции.</w:t>
            </w:r>
          </w:p>
          <w:p>
            <w:pPr>
              <w:pStyle w:val="ListParagraph"/>
              <w:widowControl w:val="false"/>
              <w:spacing w:lineRule="auto" w:line="240" w:before="0" w:after="0"/>
              <w:ind w:left="459" w:right="54" w:hanging="0"/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  <w:p>
            <w:pPr>
              <w:pStyle w:val="ListParagraph"/>
              <w:widowControl w:val="false"/>
              <w:spacing w:lineRule="auto" w:line="228" w:before="0" w:after="0"/>
              <w:ind w:left="459" w:right="54" w:hanging="0"/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  <w:p>
            <w:pPr>
              <w:pStyle w:val="Normal"/>
              <w:widowControl w:val="false"/>
              <w:tabs>
                <w:tab w:val="clear" w:pos="708"/>
                <w:tab w:val="left" w:pos="5275" w:leader="none"/>
              </w:tabs>
              <w:spacing w:lineRule="auto" w:line="240" w:before="0" w:after="0"/>
              <w:ind w:left="317" w:right="224" w:hanging="0"/>
              <w:jc w:val="center"/>
              <w:rPr>
                <w:rFonts w:ascii="Times New Roman" w:hAnsi="Times New Roman"/>
                <w:b/>
                <w:b/>
                <w:color w:val="00B050"/>
              </w:rPr>
            </w:pPr>
            <w:r>
              <w:rPr>
                <w:rFonts w:ascii="Times New Roman" w:hAnsi="Times New Roman"/>
                <w:b/>
                <w:color w:val="00B050"/>
              </w:rPr>
            </w:r>
          </w:p>
          <w:p>
            <w:pPr>
              <w:pStyle w:val="Normal"/>
              <w:widowControl w:val="false"/>
              <w:tabs>
                <w:tab w:val="clear" w:pos="708"/>
                <w:tab w:val="left" w:pos="5275" w:leader="none"/>
              </w:tabs>
              <w:spacing w:lineRule="auto" w:line="240" w:before="0" w:after="0"/>
              <w:ind w:left="317" w:right="224" w:hanging="0"/>
              <w:jc w:val="center"/>
              <w:rPr>
                <w:rFonts w:ascii="Times New Roman" w:hAnsi="Times New Roman"/>
                <w:b/>
                <w:b/>
                <w:color w:val="00B050"/>
              </w:rPr>
            </w:pPr>
            <w:r>
              <w:rPr>
                <w:rFonts w:ascii="Times New Roman" w:hAnsi="Times New Roman"/>
                <w:b/>
                <w:color w:val="00B050"/>
              </w:rPr>
            </w:r>
          </w:p>
          <w:p>
            <w:pPr>
              <w:pStyle w:val="Normal"/>
              <w:widowControl w:val="false"/>
              <w:tabs>
                <w:tab w:val="clear" w:pos="708"/>
                <w:tab w:val="left" w:pos="5275" w:leader="none"/>
              </w:tabs>
              <w:spacing w:lineRule="auto" w:line="240" w:before="0" w:after="0"/>
              <w:ind w:left="317" w:right="224" w:hanging="0"/>
              <w:jc w:val="center"/>
              <w:rPr>
                <w:rFonts w:ascii="Times New Roman" w:hAnsi="Times New Roman"/>
                <w:b/>
                <w:b/>
                <w:color w:val="00B050"/>
              </w:rPr>
            </w:pPr>
            <w:r>
              <w:rPr>
                <w:rFonts w:ascii="Times New Roman" w:hAnsi="Times New Roman"/>
                <w:b/>
                <w:color w:val="00B050"/>
              </w:rPr>
            </w:r>
          </w:p>
          <w:p>
            <w:pPr>
              <w:pStyle w:val="Normal"/>
              <w:widowControl w:val="false"/>
              <w:tabs>
                <w:tab w:val="clear" w:pos="708"/>
                <w:tab w:val="left" w:pos="5275" w:leader="none"/>
              </w:tabs>
              <w:spacing w:lineRule="auto" w:line="240" w:before="0" w:after="0"/>
              <w:ind w:left="317" w:right="224" w:hanging="0"/>
              <w:jc w:val="center"/>
              <w:rPr>
                <w:rFonts w:ascii="Times New Roman" w:hAnsi="Times New Roman"/>
                <w:b/>
                <w:b/>
                <w:color w:val="00B050"/>
              </w:rPr>
            </w:pPr>
            <w:r>
              <w:rPr>
                <w:rFonts w:ascii="Times New Roman" w:hAnsi="Times New Roman"/>
                <w:b/>
                <w:color w:val="00B050"/>
              </w:rPr>
            </w:r>
          </w:p>
          <w:p>
            <w:pPr>
              <w:pStyle w:val="Normal"/>
              <w:widowControl w:val="false"/>
              <w:tabs>
                <w:tab w:val="clear" w:pos="708"/>
                <w:tab w:val="left" w:pos="5275" w:leader="none"/>
              </w:tabs>
              <w:spacing w:lineRule="auto" w:line="240" w:before="0" w:after="0"/>
              <w:ind w:left="317" w:right="224" w:hanging="0"/>
              <w:jc w:val="center"/>
              <w:rPr>
                <w:rFonts w:ascii="Times New Roman" w:hAnsi="Times New Roman"/>
                <w:b/>
                <w:b/>
                <w:color w:val="00B050"/>
              </w:rPr>
            </w:pPr>
            <w:r>
              <w:rPr>
                <w:rFonts w:ascii="Times New Roman" w:hAnsi="Times New Roman"/>
                <w:b/>
                <w:color w:val="00B050"/>
              </w:rPr>
            </w:r>
          </w:p>
          <w:p>
            <w:pPr>
              <w:pStyle w:val="Normal"/>
              <w:widowControl w:val="false"/>
              <w:tabs>
                <w:tab w:val="clear" w:pos="708"/>
                <w:tab w:val="left" w:pos="5275" w:leader="none"/>
              </w:tabs>
              <w:spacing w:lineRule="auto" w:line="240" w:before="0" w:after="0"/>
              <w:ind w:left="317" w:right="224" w:hanging="0"/>
              <w:jc w:val="center"/>
              <w:rPr>
                <w:rFonts w:ascii="Times New Roman" w:hAnsi="Times New Roman"/>
                <w:b/>
                <w:b/>
                <w:color w:val="00B050"/>
              </w:rPr>
            </w:pPr>
            <w:r>
              <w:rPr>
                <w:rFonts w:ascii="Times New Roman" w:hAnsi="Times New Roman"/>
                <w:b/>
                <w:color w:val="00B050"/>
              </w:rPr>
              <w:t>Наши координаты: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5275" w:leader="none"/>
              </w:tabs>
              <w:spacing w:lineRule="auto" w:line="240" w:before="0" w:after="0"/>
              <w:ind w:left="317" w:right="224" w:hanging="0"/>
              <w:jc w:val="center"/>
              <w:rPr>
                <w:rFonts w:ascii="Times New Roman" w:hAnsi="Times New Roman"/>
                <w:b/>
                <w:b/>
                <w:color w:val="00B05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>г. Киров, ул. Преображенская, 66, офис, 215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5275" w:leader="none"/>
              </w:tabs>
              <w:spacing w:lineRule="auto" w:line="240" w:before="0" w:after="0"/>
              <w:ind w:left="317" w:right="224" w:hanging="0"/>
              <w:jc w:val="center"/>
              <w:rPr>
                <w:rFonts w:ascii="Times New Roman" w:hAnsi="Times New Roman"/>
                <w:b/>
                <w:b/>
                <w:color w:val="00B05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>тел: 8 (8332) 64-01-91, 64-99-98, 64-02-56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5275" w:leader="none"/>
              </w:tabs>
              <w:spacing w:lineRule="auto" w:line="240" w:before="0" w:after="0"/>
              <w:ind w:left="317" w:right="224" w:hanging="0"/>
              <w:jc w:val="center"/>
              <w:rPr>
                <w:rFonts w:ascii="Times New Roman" w:hAnsi="Times New Roman"/>
                <w:b/>
                <w:b/>
                <w:color w:val="00B05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B050"/>
                <w:sz w:val="24"/>
                <w:szCs w:val="24"/>
                <w:lang w:val="en-US"/>
              </w:rPr>
              <w:t>E</w:t>
            </w:r>
            <w:r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b/>
                <w:color w:val="00B050"/>
                <w:sz w:val="24"/>
                <w:szCs w:val="24"/>
                <w:lang w:val="en-US"/>
              </w:rPr>
              <w:t>mail</w:t>
            </w:r>
            <w:r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 xml:space="preserve">: </w:t>
            </w:r>
            <w:hyperlink r:id="rId2">
              <w:r>
                <w:rPr>
                  <w:rStyle w:val="InternetLink"/>
                  <w:rFonts w:ascii="Times New Roman" w:hAnsi="Times New Roman"/>
                  <w:b/>
                  <w:color w:val="00B050"/>
                  <w:sz w:val="24"/>
                  <w:szCs w:val="24"/>
                  <w:u w:val="none"/>
                  <w:lang w:val="en-US"/>
                </w:rPr>
                <w:t>kleverkirov</w:t>
              </w:r>
              <w:r>
                <w:rPr>
                  <w:rStyle w:val="InternetLink"/>
                  <w:rFonts w:ascii="Times New Roman" w:hAnsi="Times New Roman"/>
                  <w:b/>
                  <w:color w:val="00B050"/>
                  <w:sz w:val="24"/>
                  <w:szCs w:val="24"/>
                  <w:u w:val="none"/>
                </w:rPr>
                <w:t>@</w:t>
              </w:r>
              <w:r>
                <w:rPr>
                  <w:rStyle w:val="InternetLink"/>
                  <w:rFonts w:ascii="Times New Roman" w:hAnsi="Times New Roman"/>
                  <w:b/>
                  <w:color w:val="00B050"/>
                  <w:sz w:val="24"/>
                  <w:szCs w:val="24"/>
                  <w:u w:val="none"/>
                  <w:lang w:val="en-US"/>
                </w:rPr>
                <w:t>mail</w:t>
              </w:r>
              <w:r>
                <w:rPr>
                  <w:rStyle w:val="InternetLink"/>
                  <w:rFonts w:ascii="Times New Roman" w:hAnsi="Times New Roman"/>
                  <w:b/>
                  <w:color w:val="00B050"/>
                  <w:sz w:val="24"/>
                  <w:szCs w:val="24"/>
                  <w:u w:val="none"/>
                </w:rPr>
                <w:t>.</w:t>
              </w:r>
              <w:r>
                <w:rPr>
                  <w:rStyle w:val="InternetLink"/>
                  <w:rFonts w:ascii="Times New Roman" w:hAnsi="Times New Roman"/>
                  <w:b/>
                  <w:color w:val="00B050"/>
                  <w:sz w:val="24"/>
                  <w:szCs w:val="24"/>
                  <w:u w:val="none"/>
                  <w:lang w:val="en-US"/>
                </w:rPr>
                <w:t>ru</w:t>
              </w:r>
            </w:hyperlink>
          </w:p>
          <w:p>
            <w:pPr>
              <w:pStyle w:val="Normal"/>
              <w:widowControl w:val="false"/>
              <w:tabs>
                <w:tab w:val="clear" w:pos="708"/>
                <w:tab w:val="left" w:pos="5275" w:leader="none"/>
              </w:tabs>
              <w:spacing w:lineRule="auto" w:line="240" w:before="0" w:after="0"/>
              <w:ind w:left="317" w:hanging="0"/>
              <w:jc w:val="center"/>
              <w:rPr>
                <w:rFonts w:ascii="Times New Roman" w:hAnsi="Times New Roman"/>
                <w:b/>
                <w:b/>
                <w:color w:val="00B050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color w:val="00B050"/>
                <w:sz w:val="24"/>
                <w:szCs w:val="24"/>
                <w:lang w:val="en-US"/>
              </w:rPr>
              <w:t>www</w:t>
            </w:r>
            <w:r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b/>
                <w:color w:val="00B050"/>
                <w:sz w:val="24"/>
                <w:szCs w:val="24"/>
                <w:lang w:val="en-US"/>
              </w:rPr>
              <w:t>kleverkirov</w:t>
            </w:r>
            <w:r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/>
                <w:color w:val="00B050"/>
                <w:sz w:val="24"/>
                <w:szCs w:val="24"/>
                <w:lang w:val="en-US"/>
              </w:rPr>
              <w:t>ru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5275" w:leader="none"/>
              </w:tabs>
              <w:spacing w:lineRule="auto" w:line="240" w:before="1" w:after="0"/>
              <w:ind w:left="317" w:right="224" w:hanging="0"/>
              <w:jc w:val="both"/>
              <w:rPr>
                <w:rFonts w:ascii="Times New Roman" w:hAnsi="Times New Roman"/>
                <w:i/>
                <w:i/>
                <w:sz w:val="17"/>
                <w:szCs w:val="17"/>
              </w:rPr>
            </w:pPr>
            <w:r>
              <w:rPr>
                <w:rFonts w:ascii="Times New Roman" w:hAnsi="Times New Roman"/>
                <w:i/>
                <w:sz w:val="17"/>
                <w:szCs w:val="17"/>
              </w:rPr>
            </w:r>
          </w:p>
          <w:p>
            <w:pPr>
              <w:pStyle w:val="Normal"/>
              <w:widowControl w:val="false"/>
              <w:tabs>
                <w:tab w:val="clear" w:pos="708"/>
                <w:tab w:val="left" w:pos="5275" w:leader="none"/>
              </w:tabs>
              <w:spacing w:lineRule="auto" w:line="240" w:before="1" w:after="0"/>
              <w:ind w:left="317" w:right="224" w:hanging="0"/>
              <w:jc w:val="center"/>
              <w:rPr>
                <w:rFonts w:ascii="Times New Roman" w:hAnsi="Times New Roman"/>
                <w:i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  <w:u w:val="single"/>
              </w:rPr>
              <w:t>юрисконсульт, консультант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: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5275" w:leader="none"/>
              </w:tabs>
              <w:spacing w:lineRule="auto" w:line="240" w:before="1" w:after="0"/>
              <w:ind w:left="317" w:right="224" w:hanging="0"/>
              <w:jc w:val="center"/>
              <w:rPr>
                <w:rFonts w:ascii="Times New Roman" w:hAnsi="Times New Roman"/>
                <w:i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Ба̀тюсь Алёна Дмитриевна, тел. 64-99-98</w:t>
            </w:r>
          </w:p>
          <w:p>
            <w:pPr>
              <w:pStyle w:val="ConsPlusNormal"/>
              <w:widowControl w:val="false"/>
              <w:ind w:left="318" w:right="-109" w:hanging="0"/>
              <w:jc w:val="center"/>
              <w:rPr>
                <w:i/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</w:r>
          </w:p>
          <w:p>
            <w:pPr>
              <w:pStyle w:val="Normal"/>
              <w:widowControl w:val="false"/>
              <w:tabs>
                <w:tab w:val="clear" w:pos="708"/>
                <w:tab w:val="left" w:pos="5275" w:leader="none"/>
              </w:tabs>
              <w:spacing w:lineRule="auto" w:line="240" w:before="0" w:after="0"/>
              <w:ind w:left="317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5459" w:type="dxa"/>
            <w:tcBorders/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459" w:hanging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ind w:left="459" w:hanging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Министерство сельского хозяйства</w:t>
            </w:r>
          </w:p>
          <w:p>
            <w:pPr>
              <w:pStyle w:val="Normal"/>
              <w:widowControl w:val="false"/>
              <w:spacing w:lineRule="auto" w:line="240" w:before="0" w:after="0"/>
              <w:ind w:left="459" w:hanging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 продовольствия Кировской области</w:t>
            </w:r>
          </w:p>
          <w:p>
            <w:pPr>
              <w:pStyle w:val="Normal"/>
              <w:widowControl w:val="false"/>
              <w:spacing w:lineRule="auto" w:line="240" w:before="0" w:after="0"/>
              <w:ind w:left="459" w:hanging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ind w:left="318" w:right="-109" w:hanging="0"/>
              <w:jc w:val="center"/>
              <w:rPr>
                <w:rFonts w:ascii="Times New Roman" w:hAnsi="Times New Roman"/>
                <w:b/>
                <w:b/>
                <w:color w:val="005828"/>
              </w:rPr>
            </w:pPr>
            <w:r>
              <w:rPr>
                <w:rFonts w:ascii="Times New Roman" w:hAnsi="Times New Roman"/>
                <w:b/>
                <w:color w:val="005828"/>
              </w:rPr>
              <w:t>Кировское областное государственное</w:t>
            </w:r>
          </w:p>
          <w:p>
            <w:pPr>
              <w:pStyle w:val="Normal"/>
              <w:widowControl w:val="false"/>
              <w:spacing w:lineRule="auto" w:line="240" w:before="0" w:after="0"/>
              <w:ind w:left="318" w:right="-109" w:hanging="0"/>
              <w:jc w:val="center"/>
              <w:rPr>
                <w:rFonts w:ascii="Times New Roman" w:hAnsi="Times New Roman"/>
                <w:b/>
                <w:b/>
                <w:color w:val="005828"/>
              </w:rPr>
            </w:pPr>
            <w:r>
              <w:rPr>
                <w:rFonts w:ascii="Times New Roman" w:hAnsi="Times New Roman"/>
                <w:b/>
                <w:color w:val="005828"/>
              </w:rPr>
              <w:t>бюджетное учреждение</w:t>
            </w:r>
          </w:p>
          <w:p>
            <w:pPr>
              <w:pStyle w:val="Normal"/>
              <w:widowControl w:val="false"/>
              <w:spacing w:lineRule="auto" w:line="240" w:before="0" w:after="0"/>
              <w:ind w:left="318" w:right="-109" w:hanging="0"/>
              <w:jc w:val="center"/>
              <w:rPr>
                <w:rFonts w:ascii="Times New Roman" w:hAnsi="Times New Roman"/>
                <w:b/>
                <w:b/>
                <w:color w:val="005828"/>
              </w:rPr>
            </w:pPr>
            <w:r>
              <w:rPr>
                <w:rFonts w:ascii="Times New Roman" w:hAnsi="Times New Roman"/>
                <w:b/>
                <w:color w:val="005828"/>
              </w:rPr>
              <w:t>«Центр сельскохозяйственного консультирования</w:t>
            </w:r>
          </w:p>
          <w:p>
            <w:pPr>
              <w:pStyle w:val="Normal"/>
              <w:widowControl w:val="false"/>
              <w:spacing w:lineRule="auto" w:line="240" w:before="0" w:after="0"/>
              <w:ind w:left="318" w:right="-109" w:hanging="0"/>
              <w:jc w:val="center"/>
              <w:rPr>
                <w:rFonts w:ascii="Times New Roman" w:hAnsi="Times New Roman"/>
                <w:b/>
                <w:b/>
                <w:color w:val="005828"/>
              </w:rPr>
            </w:pPr>
            <w:r>
              <w:rPr>
                <w:rFonts w:ascii="Times New Roman" w:hAnsi="Times New Roman"/>
                <w:b/>
                <w:color w:val="005828"/>
              </w:rPr>
              <w:t xml:space="preserve"> </w:t>
            </w:r>
            <w:r>
              <w:rPr>
                <w:rFonts w:ascii="Times New Roman" w:hAnsi="Times New Roman"/>
                <w:b/>
                <w:color w:val="005828"/>
              </w:rPr>
              <w:t>«КЛЕВЕРА НЕЧЕРНОЗЕМЬЯ»</w:t>
            </w:r>
          </w:p>
          <w:p>
            <w:pPr>
              <w:pStyle w:val="Normal"/>
              <w:widowControl w:val="false"/>
              <w:spacing w:lineRule="auto" w:line="240" w:before="0" w:after="0"/>
              <w:ind w:left="318" w:right="-109" w:hanging="0"/>
              <w:jc w:val="center"/>
              <w:rPr>
                <w:rFonts w:ascii="Times New Roman" w:hAnsi="Times New Roman"/>
              </w:rPr>
            </w:pPr>
            <w:r>
              <w:rPr/>
              <mc:AlternateContent>
                <mc:Choice Requires="wps">
                  <w:drawing>
                    <wp:inline distT="0" distB="0" distL="0" distR="0">
                      <wp:extent cx="733425" cy="628650"/>
                      <wp:effectExtent l="0" t="0" r="0" b="0"/>
                      <wp:docPr id="1" name="Рисунок 1"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Рисунок 1" descr=""/>
                              <pic:cNvPicPr/>
                            </pic:nvPicPr>
                            <pic:blipFill>
                              <a:blip r:embed="rId3"/>
                              <a:srcRect l="0" t="0" r="0" b="10037"/>
                              <a:stretch/>
                            </pic:blipFill>
                            <pic:spPr>
                              <a:xfrm>
                                <a:off x="0" y="0"/>
                                <a:ext cx="733320" cy="628560"/>
                              </a:xfrm>
                              <a:prstGeom prst="rect">
                                <a:avLst/>
                              </a:prstGeom>
                              <a:ln w="0"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shape_0" ID="Рисунок 1" stroked="f" o:allowincell="t" style="position:absolute;margin-left:0pt;margin-top:-49.55pt;width:57.7pt;height:49.45pt;mso-wrap-style:none;v-text-anchor:middle;mso-position-vertical:top" type="_x0000_t75">
                      <v:imagedata r:id="rId3" o:detectmouseclick="t"/>
                      <v:stroke color="#3465a4" joinstyle="round" endcap="flat"/>
                      <w10:wrap type="none"/>
                    </v:shape>
                  </w:pict>
                </mc:Fallback>
              </mc:AlternateContent>
            </w:r>
          </w:p>
          <w:p>
            <w:pPr>
              <w:pStyle w:val="Normal"/>
              <w:widowControl w:val="false"/>
              <w:spacing w:lineRule="auto" w:line="240" w:before="0" w:after="0"/>
              <w:ind w:left="318" w:right="-109" w:hanging="0"/>
              <w:jc w:val="center"/>
              <w:rPr>
                <w:rFonts w:ascii="Times New Roman" w:hAnsi="Times New Roman"/>
                <w:b/>
                <w:b/>
                <w:color w:val="005828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5828"/>
                <w:sz w:val="28"/>
                <w:szCs w:val="28"/>
              </w:rPr>
              <w:t>Центр компетенций в сфере</w:t>
            </w:r>
          </w:p>
          <w:p>
            <w:pPr>
              <w:pStyle w:val="Normal"/>
              <w:widowControl w:val="false"/>
              <w:spacing w:lineRule="auto" w:line="240" w:before="0" w:after="0"/>
              <w:ind w:left="318" w:right="-109" w:hanging="0"/>
              <w:jc w:val="center"/>
              <w:rPr>
                <w:rFonts w:ascii="Times New Roman" w:hAnsi="Times New Roman"/>
                <w:b/>
                <w:b/>
                <w:color w:val="005828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5828"/>
                <w:sz w:val="28"/>
                <w:szCs w:val="28"/>
              </w:rPr>
              <w:t>сельскохозяйственной кооперации и поддержки фермеров Кировской области</w:t>
            </w:r>
          </w:p>
          <w:p>
            <w:pPr>
              <w:pStyle w:val="Normal"/>
              <w:widowControl w:val="false"/>
              <w:spacing w:lineRule="auto" w:line="240" w:before="0" w:after="0"/>
              <w:ind w:left="459" w:hanging="0"/>
              <w:jc w:val="center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</w:r>
          </w:p>
          <w:p>
            <w:pPr>
              <w:pStyle w:val="ConsPlusTitle"/>
              <w:widowControl w:val="false"/>
              <w:jc w:val="center"/>
              <w:rPr>
                <w:rFonts w:ascii="Times New Roman" w:hAnsi="Times New Roman" w:cs="Times New Roman"/>
                <w:color w:val="00B050"/>
              </w:rPr>
            </w:pPr>
            <w:r>
              <w:rPr>
                <w:rFonts w:cs="Times New Roman" w:ascii="Times New Roman" w:hAnsi="Times New Roman"/>
                <w:color w:val="00B050"/>
              </w:rPr>
              <w:t>СУБСИДИИ ИЗ ОБЛАСТНОГО БЮДЖЕТА</w:t>
            </w:r>
          </w:p>
          <w:p>
            <w:pPr>
              <w:pStyle w:val="ConsPlusTitle"/>
              <w:widowControl w:val="false"/>
              <w:jc w:val="center"/>
              <w:rPr>
                <w:rFonts w:ascii="Times New Roman" w:hAnsi="Times New Roman" w:cs="Times New Roman"/>
                <w:color w:val="00B050"/>
              </w:rPr>
            </w:pPr>
            <w:r>
              <w:rPr>
                <w:rFonts w:cs="Times New Roman" w:ascii="Times New Roman" w:hAnsi="Times New Roman"/>
                <w:color w:val="00B050"/>
              </w:rPr>
              <w:t>НА ВОЗМЕЩЕНИЕ ЧАСТИ ЗАТРАТ НА ПРИОБРЕТЕНИЕ СОВРЕМЕННЫХ</w:t>
            </w:r>
          </w:p>
          <w:p>
            <w:pPr>
              <w:pStyle w:val="ConsPlusTitle"/>
              <w:widowControl w:val="false"/>
              <w:jc w:val="center"/>
              <w:rPr>
                <w:rFonts w:ascii="Times New Roman" w:hAnsi="Times New Roman" w:cs="Times New Roman"/>
                <w:color w:val="00B050"/>
              </w:rPr>
            </w:pPr>
            <w:r>
              <w:rPr>
                <w:rFonts w:cs="Times New Roman" w:ascii="Times New Roman" w:hAnsi="Times New Roman"/>
                <w:color w:val="00B050"/>
              </w:rPr>
              <w:t>СЕЛЬСКОХОЗЯЙСТВЕННОЙ ТЕХНИКИ И ОБОРУДОВАНИЯ ДЛЯ ПЕРВИЧНОЙ</w:t>
            </w:r>
          </w:p>
          <w:p>
            <w:pPr>
              <w:pStyle w:val="ConsPlusTitle"/>
              <w:widowControl w:val="false"/>
              <w:jc w:val="center"/>
              <w:rPr>
                <w:rFonts w:ascii="Times New Roman" w:hAnsi="Times New Roman" w:cs="Times New Roman"/>
                <w:color w:val="00B050"/>
              </w:rPr>
            </w:pPr>
            <w:r>
              <w:rPr>
                <w:rFonts w:cs="Times New Roman" w:ascii="Times New Roman" w:hAnsi="Times New Roman"/>
                <w:color w:val="00B050"/>
              </w:rPr>
              <w:t>ПЕРЕРАБОТКИ СЕЛЬСКОХОЗЯЙСТВЕННОЙ ПРОДУКЦИИ И (ИЛИ) УПЛАТУ</w:t>
            </w:r>
          </w:p>
          <w:p>
            <w:pPr>
              <w:pStyle w:val="ConsPlusTitle"/>
              <w:widowControl w:val="false"/>
              <w:jc w:val="center"/>
              <w:rPr>
                <w:rFonts w:ascii="Times New Roman" w:hAnsi="Times New Roman" w:cs="Times New Roman"/>
                <w:color w:val="00B050"/>
              </w:rPr>
            </w:pPr>
            <w:r>
              <w:rPr>
                <w:rFonts w:cs="Times New Roman" w:ascii="Times New Roman" w:hAnsi="Times New Roman"/>
                <w:color w:val="00B050"/>
              </w:rPr>
              <w:t>ЛИЗИНГОВЫХ ПЛАТЕЖЕЙ ПО ДОГОВОРАМ ФИНАНСОВОЙ АРЕНДЫ (ЛИЗИНГА)</w:t>
            </w:r>
          </w:p>
          <w:p>
            <w:pPr>
              <w:pStyle w:val="Normal"/>
              <w:widowControl w:val="false"/>
              <w:spacing w:lineRule="auto" w:line="240" w:before="0" w:after="0"/>
              <w:ind w:left="459" w:hanging="0"/>
              <w:jc w:val="center"/>
              <w:rPr>
                <w:rFonts w:ascii="Times New Roman" w:hAnsi="Times New Roman"/>
                <w:sz w:val="30"/>
                <w:szCs w:val="30"/>
              </w:rPr>
            </w:pPr>
            <w:r>
              <w:rPr/>
              <mc:AlternateContent>
                <mc:Choice Requires="wps">
                  <w:drawing>
                    <wp:inline distT="0" distB="0" distL="0" distR="0">
                      <wp:extent cx="2505075" cy="1752600"/>
                      <wp:effectExtent l="0" t="0" r="0" b="0"/>
                      <wp:docPr id="2" name="Рисунок 4"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Рисунок 4" descr=""/>
                              <pic:cNvPicPr/>
                            </pic:nvPicPr>
                            <pic:blipFill>
                              <a:blip r:embed="rId4"/>
                              <a:srcRect l="63524" t="15097" r="13425" b="56091"/>
                              <a:stretch/>
                            </pic:blipFill>
                            <pic:spPr>
                              <a:xfrm>
                                <a:off x="0" y="0"/>
                                <a:ext cx="2505240" cy="1752480"/>
                              </a:xfrm>
                              <a:prstGeom prst="rect">
                                <a:avLst/>
                              </a:prstGeom>
                              <a:ln w="0"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 id="shape_0" ID="Рисунок 4" stroked="f" o:allowincell="t" style="position:absolute;margin-left:0pt;margin-top:-138.05pt;width:197.2pt;height:137.95pt;mso-wrap-style:none;v-text-anchor:middle;mso-position-vertical:top" type="_x0000_t75">
                      <v:imagedata r:id="rId4" o:detectmouseclick="t"/>
                      <v:stroke color="#3465a4" joinstyle="round" endcap="flat"/>
                      <w10:wrap type="none"/>
                    </v:shape>
                  </w:pict>
                </mc:Fallback>
              </mc:AlternateContent>
            </w:r>
          </w:p>
          <w:p>
            <w:pPr>
              <w:pStyle w:val="Normal"/>
              <w:widowControl w:val="false"/>
              <w:spacing w:lineRule="auto" w:line="240" w:before="0" w:after="0"/>
              <w:ind w:left="459" w:hanging="0"/>
              <w:jc w:val="center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август 2023</w:t>
            </w:r>
          </w:p>
        </w:tc>
      </w:tr>
    </w:tbl>
    <w:p>
      <w:pPr>
        <w:pStyle w:val="Normal"/>
        <w:spacing w:lineRule="auto" w:line="240" w:before="0" w:after="0"/>
        <w:jc w:val="both"/>
        <w:rPr>
          <w:rFonts w:ascii="Times New Roman" w:hAnsi="Times New Roman"/>
          <w:b/>
          <w:b/>
          <w:sz w:val="20"/>
          <w:szCs w:val="20"/>
        </w:rPr>
      </w:pPr>
      <w:r>
        <mc:AlternateContent>
          <mc:Choice Requires="wps">
            <w:drawing>
              <wp:anchor behindDoc="0" distT="0" distB="0" distL="114300" distR="114300" simplePos="0" locked="0" layoutInCell="0" allowOverlap="1" relativeHeight="2">
                <wp:simplePos x="0" y="0"/>
                <wp:positionH relativeFrom="column">
                  <wp:posOffset>-53975</wp:posOffset>
                </wp:positionH>
                <wp:positionV relativeFrom="paragraph">
                  <wp:posOffset>378460</wp:posOffset>
                </wp:positionV>
                <wp:extent cx="1333500" cy="809625"/>
                <wp:effectExtent l="635" t="1270" r="1270" b="635"/>
                <wp:wrapNone/>
                <wp:docPr id="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440" cy="809640"/>
                        </a:xfrm>
                        <a:prstGeom prst="rightArrow">
                          <a:avLst>
                            <a:gd name="adj1" fmla="val 50000"/>
                            <a:gd name="adj2" fmla="val 41174"/>
                          </a:avLst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000000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16" w:before="0" w:after="0"/>
                              <w:jc w:val="center"/>
                              <w:rPr>
                                <w:rFonts w:ascii="Times New Roman" w:hAnsi="Times New Roman"/>
                                <w:b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  <w:t>получатели субсидии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0800,10800" path="m0@5l@3@5l@3,l21600,10800l@3,21600l@3@6l0@6xe">
                <v:stroke joinstyle="miter"/>
                <v:formulas>
                  <v:f eqn="val 21600"/>
                  <v:f eqn="val #1"/>
                  <v:f eqn="val #0"/>
                  <v:f eqn="sum width 0 @2"/>
                  <v:f eqn="prod 1 @1 2"/>
                  <v:f eqn="sum 10800 0 @4"/>
                  <v:f eqn="sum 10800 @4 0"/>
                  <v:f eqn="prod @5 @2 10800"/>
                  <v:f eqn="sum @3 @7 0"/>
                </v:formulas>
                <v:path gradientshapeok="t" o:connecttype="rect" textboxrect="0,@5,@8,@6"/>
                <v:handles>
                  <v:h position="0,@5"/>
                  <v:h position="@3,0"/>
                </v:handles>
              </v:shapetype>
              <v:shape id="shape_0" fillcolor="white" stroked="t" o:allowincell="f" style="position:absolute;margin-left:-4.25pt;margin-top:29.8pt;width:104.95pt;height:63.7pt;mso-wrap-style:none;v-text-anchor:top" type="_x0000_t13">
                <v:fill o:detectmouseclick="t" type="solid" color2="black"/>
                <v:stroke color="black" joinstyle="miter" endcap="flat"/>
                <v:textbox>
                  <w:txbxContent>
                    <w:p>
                      <w:pPr>
                        <w:pStyle w:val="FrameContents"/>
                        <w:spacing w:lineRule="auto" w:line="216" w:before="0" w:after="0"/>
                        <w:jc w:val="center"/>
                        <w:rPr>
                          <w:rFonts w:ascii="Times New Roman" w:hAnsi="Times New Roman"/>
                          <w:b/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6"/>
                          <w:szCs w:val="26"/>
                        </w:rPr>
                        <w:t>получатели субсидии</w:t>
                      </w:r>
                      <w:r>
                        <w:rPr>
                          <w:sz w:val="26"/>
                          <w:szCs w:val="26"/>
                        </w:rPr>
                        <w:t xml:space="preserve"> 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 w:hAnsi="Times New Roman"/>
          <w:b/>
        </w:rPr>
        <w:t xml:space="preserve">В </w:t>
      </w:r>
      <w:r>
        <w:rPr>
          <w:rFonts w:ascii="Times New Roman" w:hAnsi="Times New Roman"/>
          <w:b/>
          <w:sz w:val="20"/>
          <w:szCs w:val="20"/>
        </w:rPr>
        <w:t xml:space="preserve">целях содействия сельскохозяйственным товаропроизводителям в технической и технологической модернизации сельского хозяйства области и реализации государственной </w:t>
      </w:r>
      <w:hyperlink r:id="rId5">
        <w:r>
          <w:rPr>
            <w:rFonts w:ascii="Times New Roman" w:hAnsi="Times New Roman"/>
            <w:b/>
            <w:sz w:val="20"/>
            <w:szCs w:val="20"/>
          </w:rPr>
          <w:t>программы</w:t>
        </w:r>
      </w:hyperlink>
      <w:r>
        <w:rPr>
          <w:rFonts w:ascii="Times New Roman" w:hAnsi="Times New Roman"/>
          <w:b/>
          <w:sz w:val="20"/>
          <w:szCs w:val="20"/>
        </w:rPr>
        <w:t xml:space="preserve"> Кировской области «Развитие агропромышленного комплекса», утвержденной постановлением Правительства Кировской области от 23.12.2019 N 690-П «Об утверждении государственной программы Кировской области «Развитие агропромышленного комплекса»</w:t>
      </w:r>
    </w:p>
    <w:tbl>
      <w:tblPr>
        <w:tblW w:w="16126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2109"/>
        <w:gridCol w:w="14016"/>
      </w:tblGrid>
      <w:tr>
        <w:trPr>
          <w:trHeight w:val="845" w:hRule="atLeast"/>
        </w:trPr>
        <w:tc>
          <w:tcPr>
            <w:tcW w:w="2109" w:type="dxa"/>
            <w:tcBorders/>
          </w:tcPr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14016" w:type="dxa"/>
            <w:tcBorders/>
          </w:tcPr>
          <w:p>
            <w:pPr>
              <w:pStyle w:val="ConsPlusNormal"/>
              <w:widowControl w:val="false"/>
              <w:jc w:val="both"/>
              <w:rPr/>
            </w:pPr>
            <w:r>
              <w:rPr/>
              <w:t xml:space="preserve">Право на получение субсидии имеют осуществляющие деятельность на территории Кировской области сельскохозяйственные товаропроизводители (кроме граждан, ведущих личное подсобное хозяйство), соответствующие требованиям </w:t>
            </w:r>
            <w:hyperlink r:id="rId6">
              <w:r>
                <w:rPr/>
                <w:t>статьи 3</w:t>
              </w:r>
            </w:hyperlink>
            <w:r>
              <w:rPr/>
              <w:t xml:space="preserve"> ФЗ от 29.12.2006 N 264-ФЗ "О развитии сельского хозяйства" (далее - сельскохозяйственные товаропроизводители (СХТП).</w:t>
            </w:r>
          </w:p>
        </w:tc>
      </w:tr>
    </w:tbl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b/>
        </w:rPr>
      </w:pPr>
      <w:r>
        <w:rPr>
          <w:rFonts w:ascii="Times New Roman" w:hAnsi="Times New Roman"/>
          <w:b/>
        </w:rPr>
        <w:t>УСЛОВИЯ ПРЕДОСТАВЛЕНИЯ СУБСИДИИ</w:t>
      </w:r>
    </w:p>
    <w:tbl>
      <w:tblPr>
        <w:tblW w:w="15876" w:type="dxa"/>
        <w:jc w:val="left"/>
        <w:tblInd w:w="25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3227"/>
        <w:gridCol w:w="12648"/>
      </w:tblGrid>
      <w:tr>
        <w:trPr/>
        <w:tc>
          <w:tcPr>
            <w:tcW w:w="158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numPr>
                <w:ilvl w:val="0"/>
                <w:numId w:val="3"/>
              </w:numPr>
              <w:tabs>
                <w:tab w:val="clear" w:pos="708"/>
                <w:tab w:val="left" w:pos="284" w:leader="none"/>
              </w:tabs>
              <w:spacing w:lineRule="auto" w:line="240" w:before="0" w:after="0"/>
              <w:ind w:left="176" w:hanging="142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отсутствует просроченная задолженность по возврату в областной бюджет субсидий, бюджетных инвестиций, предоставленных в т.ч. в соответствии с иными правовыми актами, и иная просроченная (неурегулированная) задолженность по денежным обязательствам перед Кировской областью.</w:t>
            </w:r>
          </w:p>
          <w:p>
            <w:pPr>
              <w:pStyle w:val="Normal"/>
              <w:widowControl w:val="false"/>
              <w:numPr>
                <w:ilvl w:val="0"/>
                <w:numId w:val="3"/>
              </w:numPr>
              <w:tabs>
                <w:tab w:val="clear" w:pos="708"/>
                <w:tab w:val="left" w:pos="284" w:leader="none"/>
              </w:tabs>
              <w:spacing w:lineRule="auto" w:line="240" w:before="0" w:after="0"/>
              <w:ind w:left="176" w:hanging="142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СХТП юр. лицо не находится в процессе реорганизации, ликвидации, в отношении его не введена процедура банкротства, деятельность не приостановлена, а СХТП - ИП не прекратил деятельность.</w:t>
            </w:r>
          </w:p>
          <w:p>
            <w:pPr>
              <w:pStyle w:val="Normal"/>
              <w:widowControl w:val="false"/>
              <w:numPr>
                <w:ilvl w:val="0"/>
                <w:numId w:val="3"/>
              </w:numPr>
              <w:tabs>
                <w:tab w:val="clear" w:pos="708"/>
                <w:tab w:val="left" w:pos="284" w:leader="none"/>
              </w:tabs>
              <w:spacing w:lineRule="auto" w:line="240" w:before="0" w:after="0"/>
              <w:ind w:left="176" w:hanging="142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СХТП не является иностранным юридическим лицом.</w:t>
            </w:r>
          </w:p>
          <w:p>
            <w:pPr>
              <w:pStyle w:val="Normal"/>
              <w:widowControl w:val="false"/>
              <w:numPr>
                <w:ilvl w:val="0"/>
                <w:numId w:val="3"/>
              </w:numPr>
              <w:tabs>
                <w:tab w:val="clear" w:pos="708"/>
                <w:tab w:val="left" w:pos="284" w:leader="none"/>
              </w:tabs>
              <w:spacing w:lineRule="auto" w:line="240" w:before="0" w:after="0"/>
              <w:ind w:left="176" w:hanging="142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СХТП не получал средства на возмещение части затрат на приобретение единицы техники и (или) уплату лизинговых платежей по договорам финансовой аренды (лизинга) из областного или местного бюджета на основании иных нормативных правовых актов или муниципальных правовых актов.</w:t>
            </w:r>
          </w:p>
          <w:p>
            <w:pPr>
              <w:pStyle w:val="Normal"/>
              <w:widowControl w:val="false"/>
              <w:numPr>
                <w:ilvl w:val="0"/>
                <w:numId w:val="3"/>
              </w:numPr>
              <w:tabs>
                <w:tab w:val="clear" w:pos="708"/>
                <w:tab w:val="left" w:pos="284" w:leader="none"/>
              </w:tabs>
              <w:spacing w:lineRule="auto" w:line="240" w:before="0" w:after="0"/>
              <w:ind w:left="176" w:hanging="142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 реестре дисквалифицированных лиц отсутствуют сведения о дисквалифицированных руководителе, членах коллегиального исполнительного органа, лице, исполняющем функции единоличного исполнительного органа, или главном бухгалтере сельскохозяйственного товаропроизводителя, являющегося юридическим лицом, а также о сельскохозяйственном товаропроизводителе - индивидуальном предпринимателе.</w:t>
            </w:r>
          </w:p>
          <w:p>
            <w:pPr>
              <w:pStyle w:val="ConsPlusNormal"/>
              <w:widowControl w:val="false"/>
              <w:numPr>
                <w:ilvl w:val="0"/>
                <w:numId w:val="3"/>
              </w:numPr>
              <w:tabs>
                <w:tab w:val="clear" w:pos="708"/>
                <w:tab w:val="left" w:pos="284" w:leader="none"/>
              </w:tabs>
              <w:ind w:left="176" w:hanging="14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СХТП не находится в перечне организаций и физ. лиц, в отношении которых имеются сведения об их причастности к экстремистской деятельности или терроризму, либо в перечне организаций и физических лиц, в отношении которых имеются сведения об их причастности к распространению оружия массового уничтожения.</w:t>
            </w:r>
          </w:p>
          <w:p>
            <w:pPr>
              <w:pStyle w:val="ConsPlusNormal"/>
              <w:widowControl w:val="false"/>
              <w:numPr>
                <w:ilvl w:val="0"/>
                <w:numId w:val="3"/>
              </w:numPr>
              <w:tabs>
                <w:tab w:val="clear" w:pos="708"/>
                <w:tab w:val="left" w:pos="284" w:leader="none"/>
              </w:tabs>
              <w:ind w:left="176" w:hanging="14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 СХТП отсутствует неисполненная обязанность по уплате налогов, сборов, страховых взносов, пеней, штрафов, процентов, подлежащих уплате в соответствии с законодательством РФ о налогах и сборах, по состоянию на даты формирования справки об исполнении обязанности по уплате налогов, сборов, пеней, штрафов, процентов (далее - справка об уплате налогов), выданной налоговым органом, на учете в котором состоит сельскохозяйственный товаропроизводитель, и справки о состоянии расчетов по страховым взносам, пеням и штрафам (далее - справка об уплате страховых взносов), выданной региональным отделением Фонда пенсионного и социального страхования РФ, на учете в котором состоит сельскохозяйственный товаропроизводитель, но не ранее 1-го числа месяца обращения за субсидией.</w:t>
            </w:r>
          </w:p>
        </w:tc>
      </w:tr>
      <w:tr>
        <w:trPr/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 случае осуществления деятельности по разведению с/х животных:</w:t>
            </w:r>
          </w:p>
        </w:tc>
        <w:tc>
          <w:tcPr>
            <w:tcW w:w="12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numPr>
                <w:ilvl w:val="0"/>
                <w:numId w:val="5"/>
              </w:numPr>
              <w:spacing w:lineRule="auto" w:line="240" w:before="0" w:after="0"/>
              <w:ind w:left="175" w:hanging="175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Сохранил или увеличил маточное поголовье по состоянию на 1-е число месяца первоначального обращения за субсидией по сравнению с состоянием этого поголовья на 1 января года обращения за субсидией.</w:t>
            </w:r>
          </w:p>
          <w:p>
            <w:pPr>
              <w:pStyle w:val="ConsPlusNormal"/>
              <w:widowControl w:val="false"/>
              <w:numPr>
                <w:ilvl w:val="0"/>
                <w:numId w:val="5"/>
              </w:numPr>
              <w:ind w:left="175" w:hanging="17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Сохранил или увеличил поголовье с/х животных и (или) птицы по состоянию на 1-е число месяца первоначального обращения за субсидией по сравнению с состоянием этого поголовья на 1 января года обращения за субсидией - в случае отсутствия маточного поголовья.</w:t>
            </w:r>
          </w:p>
        </w:tc>
      </w:tr>
      <w:tr>
        <w:trPr/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 случае отсутствия деятельности по разведению с/х животных при осуществлении деятельности по производству с/х культур</w:t>
            </w:r>
          </w:p>
        </w:tc>
        <w:tc>
          <w:tcPr>
            <w:tcW w:w="12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6"/>
              </w:numPr>
              <w:spacing w:lineRule="auto" w:line="240" w:before="0" w:after="0"/>
              <w:ind w:left="175" w:hanging="175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Сохранил или увеличил площадь обрабатываемой пашни в году, предшествующем году первоначального обращения за субсидией, по отношению к предыдущему году</w:t>
            </w:r>
          </w:p>
        </w:tc>
      </w:tr>
      <w:tr>
        <w:trPr/>
        <w:tc>
          <w:tcPr>
            <w:tcW w:w="158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175" w:hanging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Техника получена СХТП в году первоначального обращения за субсидией либо в декабре года, предшествующего году первоначального обращения за субсидией, в связи с ее приобретением за счет собственных либо заемных средств, в том числе по договорам финансовой аренды (лизинга).</w:t>
            </w:r>
          </w:p>
        </w:tc>
      </w:tr>
    </w:tbl>
    <w:p>
      <w:pPr>
        <w:pStyle w:val="ConsPlusNormal"/>
        <w:ind w:firstLine="539"/>
        <w:jc w:val="both"/>
        <w:rPr/>
      </w:pPr>
      <w:r>
        <w:rPr>
          <w:b/>
        </w:rPr>
        <w:t>ТРЕБОВАНИЯ К ПРИОБРЕТЕННОЙ ТЕХНИКЕ</w:t>
      </w:r>
      <w:r>
        <w:rPr/>
        <w:t xml:space="preserve"> (в отношении каждой единицы техники субсидия предоставляется только один раз).</w:t>
      </w:r>
    </w:p>
    <w:tbl>
      <w:tblPr>
        <w:tblW w:w="15876" w:type="dxa"/>
        <w:jc w:val="left"/>
        <w:tblInd w:w="25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2959"/>
        <w:gridCol w:w="12916"/>
      </w:tblGrid>
      <w:tr>
        <w:trPr>
          <w:trHeight w:val="1043" w:hRule="atLeast"/>
        </w:trPr>
        <w:tc>
          <w:tcPr>
            <w:tcW w:w="158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widowControl w:val="false"/>
              <w:numPr>
                <w:ilvl w:val="0"/>
                <w:numId w:val="4"/>
              </w:numPr>
              <w:ind w:left="284" w:hanging="284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Произведена не ранее двух лет, предшествующих году первоначального обращения за субсидией.</w:t>
            </w:r>
          </w:p>
          <w:p>
            <w:pPr>
              <w:pStyle w:val="ConsPlusNormal"/>
              <w:widowControl w:val="false"/>
              <w:numPr>
                <w:ilvl w:val="0"/>
                <w:numId w:val="4"/>
              </w:numPr>
              <w:ind w:left="284" w:hanging="284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Включена в прилагаемый перечень с/х техники и оборудования для первичной переработки с/х продукции.</w:t>
            </w:r>
          </w:p>
          <w:p>
            <w:pPr>
              <w:pStyle w:val="ConsPlusNormal"/>
              <w:widowControl w:val="false"/>
              <w:numPr>
                <w:ilvl w:val="0"/>
                <w:numId w:val="4"/>
              </w:numPr>
              <w:ind w:left="284" w:hanging="284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Приобретена у изготовителя или уполномоченного им лица.</w:t>
            </w:r>
          </w:p>
          <w:p>
            <w:pPr>
              <w:pStyle w:val="ConsPlusNormal"/>
              <w:widowControl w:val="false"/>
              <w:numPr>
                <w:ilvl w:val="0"/>
                <w:numId w:val="4"/>
              </w:numPr>
              <w:ind w:left="284" w:hanging="284"/>
              <w:jc w:val="both"/>
              <w:rPr/>
            </w:pPr>
            <w:r>
              <w:rPr>
                <w:sz w:val="22"/>
                <w:szCs w:val="22"/>
              </w:rPr>
              <w:t>Зарегистрирована в установленном порядке на территории Кировской области (в случае, если приобретаемая техника подлежит обязательной гос. регистрации)</w:t>
            </w:r>
          </w:p>
          <w:p>
            <w:pPr>
              <w:pStyle w:val="ConsPlusNormal"/>
              <w:widowControl w:val="false"/>
              <w:numPr>
                <w:ilvl w:val="0"/>
                <w:numId w:val="4"/>
              </w:numPr>
              <w:ind w:left="284" w:hanging="284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Реализация, передача в аренду, залог и (или) отчуждение приобретенной техники не допускаются в течение 12 месяцев начиная с месяца, следующего за месяцем получения субсидии.</w:t>
            </w:r>
          </w:p>
        </w:tc>
      </w:tr>
      <w:tr>
        <w:trPr>
          <w:trHeight w:val="982" w:hRule="atLeast"/>
        </w:trPr>
        <w:tc>
          <w:tcPr>
            <w:tcW w:w="2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  <mc:AlternateContent>
                <mc:Choice Requires="wps">
                  <w:drawing>
                    <wp:anchor behindDoc="0" distT="0" distB="0" distL="114300" distR="114300" simplePos="0" locked="0" layoutInCell="1" allowOverlap="1" relativeHeight="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131445</wp:posOffset>
                      </wp:positionV>
                      <wp:extent cx="1876425" cy="457200"/>
                      <wp:effectExtent l="1270" t="635" r="635" b="1270"/>
                      <wp:wrapNone/>
                      <wp:docPr id="5" name="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76320" cy="45720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102598"/>
                                </a:avLst>
                              </a:prstGeom>
                              <a:solidFill>
                                <a:srgbClr val="ffffff"/>
                              </a:solidFill>
                              <a:ln w="0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txbx>
                              <w:txbxContent>
                                <w:p>
                                  <w:pPr>
                                    <w:pStyle w:val="FrameContents"/>
                                    <w:widowControl w:val="false"/>
                                    <w:spacing w:before="0" w:after="200"/>
                                    <w:rPr>
                                      <w:rFonts w:ascii="Times New Roman" w:hAnsi="Times New Roman"/>
                                      <w:b/>
                                      <w:b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</w:rPr>
                                    <w:t>РАЗМЕР СУБСИДИИ</w:t>
                                  </w:r>
                                </w:p>
                              </w:txbxContent>
                            </wps:txbx>
                            <wps:bodyPr tIns="91440" bIns="91440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_0" fillcolor="white" stroked="t" o:allowincell="t" style="position:absolute;margin-left:-5pt;margin-top:10.35pt;width:147.7pt;height:35.95pt;mso-wrap-style:none;v-text-anchor:top" type="_x0000_t13">
                      <v:fill o:detectmouseclick="t" type="solid" color2="black"/>
                      <v:stroke color="black" joinstyle="miter" endcap="flat"/>
                      <v:textbox>
                        <w:txbxContent>
                          <w:p>
                            <w:pPr>
                              <w:pStyle w:val="FrameContents"/>
                              <w:widowControl w:val="false"/>
                              <w:spacing w:before="0" w:after="200"/>
                              <w:rPr>
                                <w:rFonts w:ascii="Times New Roman" w:hAnsi="Times New Roman"/>
                                <w:b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РАЗМЕР СУБСИДИИ</w:t>
                            </w:r>
                          </w:p>
                        </w:txbxContent>
                      </v:textbox>
                      <w10:wrap type="none"/>
                    </v:shape>
                  </w:pict>
                </mc:Fallback>
              </mc:AlternateContent>
            </w:r>
          </w:p>
        </w:tc>
        <w:tc>
          <w:tcPr>
            <w:tcW w:w="12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b/>
                <w:b/>
                <w:sz w:val="40"/>
                <w:szCs w:val="40"/>
              </w:rPr>
            </w:pPr>
            <w:r>
              <w:rPr>
                <w:rFonts w:ascii="Times New Roman" w:hAnsi="Times New Roman"/>
                <w:b/>
                <w:sz w:val="40"/>
                <w:szCs w:val="40"/>
              </w:rPr>
              <w:t>15% стоимости приобретаемой техники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 случае приобретения техники по договору финансовой аренды (лизинга) ее стоимость определяется как сумма выкупной цены предмета лизинга (ее части) и лизинговых платежей (без НДС)</w:t>
            </w:r>
          </w:p>
        </w:tc>
      </w:tr>
    </w:tbl>
    <w:p>
      <w:pPr>
        <w:pStyle w:val="Normal"/>
        <w:tabs>
          <w:tab w:val="clear" w:pos="708"/>
          <w:tab w:val="left" w:pos="3315" w:leader="none"/>
        </w:tabs>
        <w:spacing w:before="0" w:after="200"/>
        <w:rPr/>
      </w:pPr>
      <w:r>
        <w:rPr/>
      </w:r>
    </w:p>
    <w:sectPr>
      <w:type w:val="nextPage"/>
      <w:pgSz w:orient="landscape" w:w="16838" w:h="11906"/>
      <w:pgMar w:left="340" w:right="536" w:gutter="0" w:header="0" w:top="289" w:footer="0" w:bottom="289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Cambria">
    <w:charset w:val="01"/>
    <w:family w:val="roman"/>
    <w:pitch w:val="variable"/>
  </w:font>
  <w:font w:name="Tahoma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Times New Roman">
    <w:charset w:val="01"/>
    <w:family w:val="roman"/>
    <w:pitch w:val="variable"/>
  </w:font>
  <w:font w:name="Arial">
    <w:charset w:val="01"/>
    <w:family w:val="roman"/>
    <w:pitch w:val="variable"/>
  </w:font>
  <w:font w:name="Wingdings">
    <w:charset w:val="02"/>
    <w:family w:val="auto"/>
    <w:pitch w:val="default"/>
  </w:font>
  <w:font w:name="Courier New">
    <w:charset w:val="01"/>
    <w:family w:val="modern"/>
    <w:pitch w:val="fixed"/>
  </w:font>
  <w:font w:name="Symbol">
    <w:charset w:val="02"/>
    <w:family w:val="auto"/>
    <w:pitch w:val="default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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lvl w:ilvl="0">
      <w:start w:val="1"/>
      <w:numFmt w:val="bullet"/>
      <w:lvlText w:val="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/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/>
    </w:lvl>
  </w:abstractNum>
  <w:abstractNum w:abstractNumId="4">
    <w:lvl w:ilvl="0">
      <w:start w:val="1"/>
      <w:numFmt w:val="decimal"/>
      <w:lvlText w:val="%1."/>
      <w:lvlJc w:val="left"/>
      <w:pPr>
        <w:tabs>
          <w:tab w:val="num" w:pos="0"/>
        </w:tabs>
        <w:ind w:left="900" w:hanging="360"/>
      </w:pPr>
      <w:rPr/>
    </w:lvl>
    <w:lvl w:ilvl="1">
      <w:start w:val="1"/>
      <w:numFmt w:val="lowerLetter"/>
      <w:lvlText w:val="%2."/>
      <w:lvlJc w:val="left"/>
      <w:pPr>
        <w:tabs>
          <w:tab w:val="num" w:pos="0"/>
        </w:tabs>
        <w:ind w:left="1620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340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3060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780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500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22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594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660" w:hanging="180"/>
      </w:pPr>
      <w:rPr/>
    </w:lvl>
  </w:abstractNum>
  <w:abstractNum w:abstractNumId="5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/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/>
    </w:lvl>
  </w:abstractNum>
  <w:abstractNum w:abstractNumId="6">
    <w:lvl w:ilvl="0">
      <w:start w:val="1"/>
      <w:numFmt w:val="decimal"/>
      <w:lvlText w:val="%1."/>
      <w:lvlJc w:val="left"/>
      <w:pPr>
        <w:tabs>
          <w:tab w:val="num" w:pos="0"/>
        </w:tabs>
        <w:ind w:left="535" w:hanging="360"/>
      </w:pPr>
      <w:rPr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255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1975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2695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415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135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4855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5575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295" w:hanging="180"/>
      </w:pPr>
      <w:rPr/>
    </w:lvl>
  </w:abstractNum>
  <w:abstractNum w:abstractNumId="7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/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/>
    </w:lvl>
  </w:abstractNum>
  <w:abstractNum w:abstractNumId="8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/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/>
    </w:lvl>
  </w:abstractNum>
  <w:abstractNum w:abstractNumId="9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1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Times New Roman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c027a3"/>
    <w:pPr>
      <w:widowControl/>
      <w:bidi w:val="0"/>
      <w:spacing w:lineRule="auto" w:line="276" w:before="0" w:after="200"/>
      <w:jc w:val="left"/>
    </w:pPr>
    <w:rPr>
      <w:rFonts w:ascii="Calibri" w:hAnsi="Calibri" w:eastAsia="Calibri" w:cs="Times New Roman"/>
      <w:color w:val="auto"/>
      <w:kern w:val="0"/>
      <w:sz w:val="22"/>
      <w:szCs w:val="22"/>
      <w:lang w:val="ru-RU" w:eastAsia="en-US"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517985"/>
    <w:pPr>
      <w:keepNext w:val="true"/>
      <w:keepLines/>
      <w:spacing w:before="480" w:after="0"/>
      <w:outlineLvl w:val="0"/>
    </w:pPr>
    <w:rPr>
      <w:rFonts w:ascii="Cambria" w:hAnsi="Cambria" w:eastAsia="Times New Roman"/>
      <w:b/>
      <w:bCs/>
      <w:color w:val="365F91"/>
      <w:sz w:val="28"/>
      <w:szCs w:val="28"/>
      <w:lang w:val="x-none" w:eastAsia="x-none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Pta0" w:customStyle="1">
    <w:name w:val="pt-a0"/>
    <w:basedOn w:val="DefaultParagraphFont"/>
    <w:qFormat/>
    <w:rsid w:val="00d72020"/>
    <w:rPr/>
  </w:style>
  <w:style w:type="character" w:styleId="Pta0000018" w:customStyle="1">
    <w:name w:val="pt-a0-000018"/>
    <w:basedOn w:val="DefaultParagraphFont"/>
    <w:qFormat/>
    <w:rsid w:val="0015454a"/>
    <w:rPr/>
  </w:style>
  <w:style w:type="character" w:styleId="BalloonTextChar" w:customStyle="1">
    <w:name w:val="Balloon Text Char"/>
    <w:link w:val="BalloonText"/>
    <w:uiPriority w:val="99"/>
    <w:semiHidden/>
    <w:qFormat/>
    <w:rsid w:val="008827c9"/>
    <w:rPr>
      <w:rFonts w:ascii="Tahoma" w:hAnsi="Tahoma" w:cs="Tahoma"/>
      <w:sz w:val="16"/>
      <w:szCs w:val="16"/>
    </w:rPr>
  </w:style>
  <w:style w:type="character" w:styleId="InternetLink">
    <w:name w:val="Hyperlink"/>
    <w:uiPriority w:val="99"/>
    <w:unhideWhenUsed/>
    <w:rsid w:val="00e57c8a"/>
    <w:rPr>
      <w:color w:val="0000FF"/>
      <w:u w:val="single"/>
    </w:rPr>
  </w:style>
  <w:style w:type="character" w:styleId="Heading1Char" w:customStyle="1">
    <w:name w:val="Heading 1 Char"/>
    <w:link w:val="Heading1"/>
    <w:uiPriority w:val="9"/>
    <w:qFormat/>
    <w:rsid w:val="00517985"/>
    <w:rPr>
      <w:rFonts w:ascii="Cambria" w:hAnsi="Cambria" w:eastAsia="Times New Roman" w:cs="Times New Roman"/>
      <w:b/>
      <w:bCs/>
      <w:color w:val="365F91"/>
      <w:sz w:val="28"/>
      <w:szCs w:val="28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Lohit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ohit Devanagari"/>
    </w:rPr>
  </w:style>
  <w:style w:type="paragraph" w:styleId="ConsPlusNormal" w:customStyle="1">
    <w:name w:val="ConsPlusNormal"/>
    <w:qFormat/>
    <w:rsid w:val="00106839"/>
    <w:pPr>
      <w:widowControl w:val="fals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ru-RU" w:eastAsia="ru-RU" w:bidi="ar-SA"/>
    </w:rPr>
  </w:style>
  <w:style w:type="paragraph" w:styleId="ConsPlusTitle" w:customStyle="1">
    <w:name w:val="ConsPlusTitle"/>
    <w:uiPriority w:val="99"/>
    <w:qFormat/>
    <w:rsid w:val="001d52b4"/>
    <w:pPr>
      <w:widowControl w:val="false"/>
      <w:bidi w:val="0"/>
      <w:spacing w:before="0" w:after="0"/>
      <w:jc w:val="left"/>
    </w:pPr>
    <w:rPr>
      <w:rFonts w:ascii="Arial" w:hAnsi="Arial" w:eastAsia="Times New Roman" w:cs="Arial"/>
      <w:b/>
      <w:bCs/>
      <w:color w:val="auto"/>
      <w:kern w:val="0"/>
      <w:sz w:val="24"/>
      <w:szCs w:val="24"/>
      <w:lang w:val="ru-RU" w:eastAsia="ru-RU" w:bidi="ar-SA"/>
    </w:rPr>
  </w:style>
  <w:style w:type="paragraph" w:styleId="ListParagraph">
    <w:name w:val="List Paragraph"/>
    <w:basedOn w:val="Normal"/>
    <w:uiPriority w:val="34"/>
    <w:qFormat/>
    <w:rsid w:val="00d72020"/>
    <w:pPr>
      <w:spacing w:before="0" w:after="200"/>
      <w:ind w:left="720" w:hanging="0"/>
      <w:contextualSpacing/>
    </w:pPr>
    <w:rPr/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8827c9"/>
    <w:pPr>
      <w:spacing w:lineRule="auto" w:line="240" w:before="0" w:after="0"/>
    </w:pPr>
    <w:rPr>
      <w:rFonts w:ascii="Tahoma" w:hAnsi="Tahoma"/>
      <w:sz w:val="16"/>
      <w:szCs w:val="16"/>
      <w:lang w:val="x-none" w:eastAsia="x-none"/>
    </w:rPr>
  </w:style>
  <w:style w:type="paragraph" w:styleId="NormalWeb">
    <w:name w:val="Normal (Web)"/>
    <w:basedOn w:val="Normal"/>
    <w:uiPriority w:val="99"/>
    <w:semiHidden/>
    <w:unhideWhenUsed/>
    <w:qFormat/>
    <w:rsid w:val="00a339a0"/>
    <w:pPr>
      <w:spacing w:lineRule="auto" w:line="240" w:beforeAutospacing="1" w:afterAutospacing="1"/>
    </w:pPr>
    <w:rPr>
      <w:rFonts w:ascii="Times New Roman" w:hAnsi="Times New Roman" w:eastAsia="Times New Roman"/>
      <w:sz w:val="24"/>
      <w:szCs w:val="24"/>
      <w:lang w:eastAsia="ru-RU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59"/>
    <w:rsid w:val="006b34d1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mailto:kleverkirov@mail.ru" TargetMode="External"/><Relationship Id="rId3" Type="http://schemas.openxmlformats.org/officeDocument/2006/relationships/image" Target="media/image1.jpeg"/><Relationship Id="rId4" Type="http://schemas.openxmlformats.org/officeDocument/2006/relationships/image" Target="media/image2.png"/><Relationship Id="rId5" Type="http://schemas.openxmlformats.org/officeDocument/2006/relationships/hyperlink" Target="https://login.consultant.ru/link/?req=doc&amp;base=RLAW240&amp;n=194871&amp;date=17.10.2022&amp;dst=101317&amp;field=134" TargetMode="External"/><Relationship Id="rId6" Type="http://schemas.openxmlformats.org/officeDocument/2006/relationships/hyperlink" Target="https://login.consultant.ru/link/?req=doc&amp;base=LAW&amp;n=454098&amp;date=29.08.2023&amp;dst=100013&amp;field=134" TargetMode="External"/><Relationship Id="rId7" Type="http://schemas.openxmlformats.org/officeDocument/2006/relationships/numbering" Target="numbering.xml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<Relationship Id="rId11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04EB49-1B2E-4F9A-88D3-F07B544EEF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LibreOffice/7.3.7.2$Linux_X86_64 LibreOffice_project/30$Build-2</Application>
  <AppVersion>15.0000</AppVersion>
  <DocSecurity>4</DocSecurity>
  <Pages>2</Pages>
  <Words>1098</Words>
  <Characters>7832</Characters>
  <CharactersWithSpaces>8834</CharactersWithSpaces>
  <Paragraphs>74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2023-08-31T03:49:00Z</dcterms:created>
  <dc:creator>Владелец</dc:creator>
  <dc:description/>
  <dc:language>en-US</dc:language>
  <cp:lastModifiedBy/>
  <cp:lastPrinted>2023-08-29T13:57:00Z</cp:lastPrinted>
  <dcterms:modified xsi:type="dcterms:W3CDTF">2023-08-31T07:11:31Z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